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2ABD4" w14:textId="77777777" w:rsidR="007C3B60" w:rsidRPr="007C3B60" w:rsidRDefault="007C3B60" w:rsidP="007C3B60">
      <w:pPr>
        <w:keepNext/>
        <w:overflowPunct w:val="0"/>
        <w:autoSpaceDE w:val="0"/>
        <w:autoSpaceDN w:val="0"/>
        <w:adjustRightInd w:val="0"/>
        <w:spacing w:before="120" w:after="120" w:line="240" w:lineRule="auto"/>
        <w:jc w:val="center"/>
        <w:textAlignment w:val="baseline"/>
        <w:outlineLvl w:val="0"/>
        <w:rPr>
          <w:rFonts w:ascii="Times New Roman" w:eastAsia="Times New Roman" w:hAnsi="Times New Roman" w:cs="Times New Roman"/>
          <w:b/>
          <w:bCs/>
          <w:kern w:val="32"/>
          <w:sz w:val="20"/>
          <w:szCs w:val="20"/>
        </w:rPr>
      </w:pPr>
      <w:bookmarkStart w:id="0" w:name="_Toc416712451"/>
      <w:r w:rsidRPr="007C3B60">
        <w:rPr>
          <w:rFonts w:ascii="Times New Roman" w:eastAsia="Times New Roman" w:hAnsi="Times New Roman" w:cs="Times New Roman"/>
          <w:b/>
          <w:bCs/>
          <w:kern w:val="32"/>
          <w:sz w:val="20"/>
          <w:szCs w:val="20"/>
        </w:rPr>
        <w:t>FINAL EXAM</w:t>
      </w:r>
      <w:bookmarkEnd w:id="0"/>
    </w:p>
    <w:p w14:paraId="38FCA438" w14:textId="77777777" w:rsidR="007C3B60" w:rsidRPr="007C3B60" w:rsidRDefault="007C3B60" w:rsidP="007C3B60">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bookmarkStart w:id="1" w:name="_GoBack"/>
      <w:bookmarkEnd w:id="1"/>
    </w:p>
    <w:p w14:paraId="4F34D135" w14:textId="77777777" w:rsidR="007C3B60" w:rsidRPr="007C3B60" w:rsidRDefault="007C3B60" w:rsidP="007C3B60">
      <w:pPr>
        <w:overflowPunct w:val="0"/>
        <w:autoSpaceDE w:val="0"/>
        <w:autoSpaceDN w:val="0"/>
        <w:adjustRightInd w:val="0"/>
        <w:spacing w:before="120" w:after="0" w:line="240" w:lineRule="auto"/>
        <w:textAlignment w:val="baseline"/>
        <w:rPr>
          <w:rFonts w:ascii="Times New Roman" w:eastAsia="Times New Roman" w:hAnsi="Times New Roman" w:cs="Times New Roman"/>
          <w:i/>
          <w:sz w:val="20"/>
          <w:szCs w:val="20"/>
        </w:rPr>
      </w:pPr>
      <w:r w:rsidRPr="007C3B60">
        <w:rPr>
          <w:rFonts w:ascii="Times New Roman" w:eastAsia="Times New Roman" w:hAnsi="Times New Roman" w:cs="Times New Roman"/>
          <w:b/>
          <w:sz w:val="20"/>
          <w:szCs w:val="20"/>
        </w:rPr>
        <w:t>Part I:</w:t>
      </w:r>
      <w:r w:rsidRPr="007C3B60">
        <w:rPr>
          <w:rFonts w:ascii="Times New Roman" w:eastAsia="Times New Roman" w:hAnsi="Times New Roman" w:cs="Times New Roman"/>
          <w:sz w:val="20"/>
          <w:szCs w:val="20"/>
        </w:rPr>
        <w:t xml:space="preserve">  </w:t>
      </w:r>
      <w:r w:rsidRPr="007C3B60">
        <w:rPr>
          <w:rFonts w:ascii="Times New Roman" w:eastAsia="Times New Roman" w:hAnsi="Times New Roman" w:cs="Times New Roman"/>
          <w:i/>
          <w:sz w:val="20"/>
          <w:szCs w:val="20"/>
        </w:rPr>
        <w:t xml:space="preserve">Answer three of the following five questions.  It is possible to write much more on these topics, but part of the challenge here is to be concise, so keep your responses to a paragraph or two. </w:t>
      </w:r>
    </w:p>
    <w:p w14:paraId="384AC86E" w14:textId="77777777" w:rsidR="007C3B60" w:rsidRPr="007C3B60" w:rsidRDefault="007C3B60" w:rsidP="007C3B60">
      <w:pPr>
        <w:tabs>
          <w:tab w:val="left" w:pos="360"/>
        </w:tabs>
        <w:overflowPunct w:val="0"/>
        <w:autoSpaceDE w:val="0"/>
        <w:autoSpaceDN w:val="0"/>
        <w:adjustRightInd w:val="0"/>
        <w:spacing w:before="120" w:after="0" w:line="240" w:lineRule="auto"/>
        <w:ind w:left="360" w:hanging="360"/>
        <w:textAlignment w:val="baseline"/>
        <w:rPr>
          <w:rFonts w:ascii="Times New Roman" w:eastAsia="Times New Roman" w:hAnsi="Times New Roman" w:cs="Times New Roman"/>
          <w:sz w:val="20"/>
          <w:szCs w:val="20"/>
        </w:rPr>
      </w:pPr>
      <w:r w:rsidRPr="007C3B60">
        <w:rPr>
          <w:rFonts w:ascii="Times New Roman" w:eastAsia="Times New Roman" w:hAnsi="Times New Roman" w:cs="Times New Roman"/>
          <w:sz w:val="20"/>
          <w:szCs w:val="20"/>
        </w:rPr>
        <w:t xml:space="preserve">1. In both </w:t>
      </w:r>
      <w:r w:rsidRPr="007C3B60">
        <w:rPr>
          <w:rFonts w:ascii="Times New Roman" w:eastAsia="Times New Roman" w:hAnsi="Times New Roman" w:cs="Times New Roman"/>
          <w:i/>
          <w:sz w:val="20"/>
          <w:szCs w:val="20"/>
        </w:rPr>
        <w:t xml:space="preserve">Comfort Woman </w:t>
      </w:r>
      <w:r w:rsidRPr="007C3B60">
        <w:rPr>
          <w:rFonts w:ascii="Times New Roman" w:eastAsia="Times New Roman" w:hAnsi="Times New Roman" w:cs="Times New Roman"/>
          <w:sz w:val="20"/>
          <w:szCs w:val="20"/>
        </w:rPr>
        <w:t xml:space="preserve">and </w:t>
      </w:r>
      <w:r w:rsidRPr="007C3B60">
        <w:rPr>
          <w:rFonts w:ascii="Times New Roman" w:eastAsia="Times New Roman" w:hAnsi="Times New Roman" w:cs="Times New Roman"/>
          <w:i/>
          <w:sz w:val="20"/>
          <w:szCs w:val="20"/>
        </w:rPr>
        <w:t>Once in a Promised Land</w:t>
      </w:r>
      <w:r w:rsidRPr="007C3B60">
        <w:rPr>
          <w:rFonts w:ascii="Times New Roman" w:eastAsia="Times New Roman" w:hAnsi="Times New Roman" w:cs="Times New Roman"/>
          <w:sz w:val="20"/>
          <w:szCs w:val="20"/>
        </w:rPr>
        <w:t xml:space="preserve">, the characters’ lives are greatly affected by large-scale tragedies in which they played no part (the devastation of war and the ‘comfort woman’ camps in Keller; 9/11 in Halaby). For both books, give two specific examples of how these events create and limit the characters’ lives.   </w:t>
      </w:r>
    </w:p>
    <w:p w14:paraId="27F7E633" w14:textId="77777777" w:rsidR="007C3B60" w:rsidRPr="007C3B60" w:rsidRDefault="007C3B60" w:rsidP="007C3B60">
      <w:pPr>
        <w:tabs>
          <w:tab w:val="left" w:pos="360"/>
        </w:tabs>
        <w:overflowPunct w:val="0"/>
        <w:autoSpaceDE w:val="0"/>
        <w:autoSpaceDN w:val="0"/>
        <w:adjustRightInd w:val="0"/>
        <w:spacing w:before="120" w:after="0" w:line="240" w:lineRule="auto"/>
        <w:ind w:left="360" w:hanging="360"/>
        <w:textAlignment w:val="baseline"/>
        <w:rPr>
          <w:rFonts w:ascii="Times New Roman" w:eastAsia="Times New Roman" w:hAnsi="Times New Roman" w:cs="Times New Roman"/>
          <w:sz w:val="20"/>
          <w:szCs w:val="20"/>
        </w:rPr>
      </w:pPr>
      <w:r w:rsidRPr="007C3B60">
        <w:rPr>
          <w:rFonts w:ascii="Times New Roman" w:eastAsia="Times New Roman" w:hAnsi="Times New Roman" w:cs="Times New Roman"/>
          <w:sz w:val="20"/>
          <w:szCs w:val="20"/>
        </w:rPr>
        <w:t xml:space="preserve">2.  In </w:t>
      </w:r>
      <w:r w:rsidRPr="007C3B60">
        <w:rPr>
          <w:rFonts w:ascii="Times New Roman" w:eastAsia="Times New Roman" w:hAnsi="Times New Roman" w:cs="Times New Roman"/>
          <w:i/>
          <w:sz w:val="20"/>
          <w:szCs w:val="20"/>
        </w:rPr>
        <w:t>Once in a Promised Land</w:t>
      </w:r>
      <w:r w:rsidRPr="007C3B60">
        <w:rPr>
          <w:rFonts w:ascii="Times New Roman" w:eastAsia="Times New Roman" w:hAnsi="Times New Roman" w:cs="Times New Roman"/>
          <w:sz w:val="20"/>
          <w:szCs w:val="20"/>
        </w:rPr>
        <w:t xml:space="preserve">, </w:t>
      </w:r>
      <w:proofErr w:type="spellStart"/>
      <w:r w:rsidRPr="007C3B60">
        <w:rPr>
          <w:rFonts w:ascii="Times New Roman" w:eastAsia="Times New Roman" w:hAnsi="Times New Roman" w:cs="Times New Roman"/>
          <w:sz w:val="20"/>
          <w:szCs w:val="20"/>
        </w:rPr>
        <w:t>Salwa’s</w:t>
      </w:r>
      <w:proofErr w:type="spellEnd"/>
      <w:r w:rsidRPr="007C3B60">
        <w:rPr>
          <w:rFonts w:ascii="Times New Roman" w:eastAsia="Times New Roman" w:hAnsi="Times New Roman" w:cs="Times New Roman"/>
          <w:sz w:val="20"/>
          <w:szCs w:val="20"/>
        </w:rPr>
        <w:t xml:space="preserve"> parents were immigrants to the country from which </w:t>
      </w:r>
      <w:proofErr w:type="spellStart"/>
      <w:r w:rsidRPr="007C3B60">
        <w:rPr>
          <w:rFonts w:ascii="Times New Roman" w:eastAsia="Times New Roman" w:hAnsi="Times New Roman" w:cs="Times New Roman"/>
          <w:sz w:val="20"/>
          <w:szCs w:val="20"/>
        </w:rPr>
        <w:t>Salwa</w:t>
      </w:r>
      <w:proofErr w:type="spellEnd"/>
      <w:r w:rsidRPr="007C3B60">
        <w:rPr>
          <w:rFonts w:ascii="Times New Roman" w:eastAsia="Times New Roman" w:hAnsi="Times New Roman" w:cs="Times New Roman"/>
          <w:sz w:val="20"/>
          <w:szCs w:val="20"/>
        </w:rPr>
        <w:t xml:space="preserve"> emigrated to the United States.  Explain this — where is </w:t>
      </w:r>
      <w:proofErr w:type="spellStart"/>
      <w:r w:rsidRPr="007C3B60">
        <w:rPr>
          <w:rFonts w:ascii="Times New Roman" w:eastAsia="Times New Roman" w:hAnsi="Times New Roman" w:cs="Times New Roman"/>
          <w:sz w:val="20"/>
          <w:szCs w:val="20"/>
        </w:rPr>
        <w:t>Salwa’s</w:t>
      </w:r>
      <w:proofErr w:type="spellEnd"/>
      <w:r w:rsidRPr="007C3B60">
        <w:rPr>
          <w:rFonts w:ascii="Times New Roman" w:eastAsia="Times New Roman" w:hAnsi="Times New Roman" w:cs="Times New Roman"/>
          <w:sz w:val="20"/>
          <w:szCs w:val="20"/>
        </w:rPr>
        <w:t xml:space="preserve"> family from originally, why did they leave, and where did they settle? This is further complicated by where </w:t>
      </w:r>
      <w:proofErr w:type="spellStart"/>
      <w:r w:rsidRPr="007C3B60">
        <w:rPr>
          <w:rFonts w:ascii="Times New Roman" w:eastAsia="Times New Roman" w:hAnsi="Times New Roman" w:cs="Times New Roman"/>
          <w:sz w:val="20"/>
          <w:szCs w:val="20"/>
        </w:rPr>
        <w:t>Salwa</w:t>
      </w:r>
      <w:proofErr w:type="spellEnd"/>
      <w:r w:rsidRPr="007C3B60">
        <w:rPr>
          <w:rFonts w:ascii="Times New Roman" w:eastAsia="Times New Roman" w:hAnsi="Times New Roman" w:cs="Times New Roman"/>
          <w:sz w:val="20"/>
          <w:szCs w:val="20"/>
        </w:rPr>
        <w:t xml:space="preserve"> was actually born — explain this too.   </w:t>
      </w:r>
    </w:p>
    <w:p w14:paraId="6C46FBE1" w14:textId="77777777" w:rsidR="007C3B60" w:rsidRPr="007C3B60" w:rsidRDefault="007C3B60" w:rsidP="007C3B60">
      <w:pPr>
        <w:tabs>
          <w:tab w:val="left" w:pos="360"/>
        </w:tabs>
        <w:overflowPunct w:val="0"/>
        <w:autoSpaceDE w:val="0"/>
        <w:autoSpaceDN w:val="0"/>
        <w:adjustRightInd w:val="0"/>
        <w:spacing w:before="120" w:after="0" w:line="240" w:lineRule="auto"/>
        <w:ind w:left="360" w:hanging="360"/>
        <w:textAlignment w:val="baseline"/>
        <w:rPr>
          <w:rFonts w:ascii="Times New Roman" w:eastAsia="Times New Roman" w:hAnsi="Times New Roman" w:cs="Times New Roman"/>
          <w:sz w:val="20"/>
          <w:szCs w:val="20"/>
        </w:rPr>
      </w:pPr>
      <w:r w:rsidRPr="007C3B60">
        <w:rPr>
          <w:rFonts w:ascii="Times New Roman" w:eastAsia="Times New Roman" w:hAnsi="Times New Roman" w:cs="Times New Roman"/>
          <w:sz w:val="20"/>
          <w:szCs w:val="20"/>
        </w:rPr>
        <w:t xml:space="preserve">3.   Why did both Rivera and Yamamoto choose child narrators?  In some ways, this is limiting; a child will not have the analytical abilities or knowledge of social codes to understand everything he or she sees.  Then again, for the same reasons, a child narrator can be useful: less is filtered, and the reader may be able to understand what the child does only imperfectly.  Try to include an example from each work that illustrates why the authors chose a child narrator.    </w:t>
      </w:r>
    </w:p>
    <w:p w14:paraId="7A39E045" w14:textId="77777777" w:rsidR="007C3B60" w:rsidRPr="007C3B60" w:rsidRDefault="007C3B60" w:rsidP="007C3B60">
      <w:pPr>
        <w:tabs>
          <w:tab w:val="left" w:pos="360"/>
        </w:tabs>
        <w:overflowPunct w:val="0"/>
        <w:autoSpaceDE w:val="0"/>
        <w:autoSpaceDN w:val="0"/>
        <w:adjustRightInd w:val="0"/>
        <w:spacing w:before="120" w:after="0" w:line="240" w:lineRule="auto"/>
        <w:ind w:left="360" w:hanging="360"/>
        <w:textAlignment w:val="baseline"/>
        <w:rPr>
          <w:rFonts w:ascii="Times New Roman" w:eastAsia="Times New Roman" w:hAnsi="Times New Roman" w:cs="Times New Roman"/>
          <w:sz w:val="20"/>
          <w:szCs w:val="20"/>
        </w:rPr>
      </w:pPr>
      <w:r w:rsidRPr="007C3B60">
        <w:rPr>
          <w:rFonts w:ascii="Times New Roman" w:eastAsia="Times New Roman" w:hAnsi="Times New Roman" w:cs="Times New Roman"/>
          <w:sz w:val="20"/>
          <w:szCs w:val="20"/>
        </w:rPr>
        <w:t xml:space="preserve">4. In </w:t>
      </w:r>
      <w:r w:rsidRPr="007C3B60">
        <w:rPr>
          <w:rFonts w:ascii="Times New Roman" w:eastAsia="Times New Roman" w:hAnsi="Times New Roman" w:cs="Times New Roman"/>
          <w:i/>
          <w:sz w:val="20"/>
          <w:szCs w:val="20"/>
        </w:rPr>
        <w:t>Borderlands/La Frontera</w:t>
      </w:r>
      <w:r w:rsidRPr="007C3B60">
        <w:rPr>
          <w:rFonts w:ascii="Times New Roman" w:eastAsia="Times New Roman" w:hAnsi="Times New Roman" w:cs="Times New Roman"/>
          <w:sz w:val="20"/>
          <w:szCs w:val="20"/>
        </w:rPr>
        <w:t xml:space="preserve">, Anzaldúa reconsiders the Aztecs.   What do they become in her version of        history?   How is this surprising in the context of our course?  </w:t>
      </w:r>
    </w:p>
    <w:p w14:paraId="195DA8E3" w14:textId="77777777" w:rsidR="007C3B60" w:rsidRPr="007C3B60" w:rsidRDefault="007C3B60" w:rsidP="007C3B60">
      <w:pPr>
        <w:tabs>
          <w:tab w:val="left" w:pos="360"/>
        </w:tabs>
        <w:overflowPunct w:val="0"/>
        <w:autoSpaceDE w:val="0"/>
        <w:autoSpaceDN w:val="0"/>
        <w:adjustRightInd w:val="0"/>
        <w:spacing w:before="120" w:after="0" w:line="240" w:lineRule="auto"/>
        <w:ind w:left="360" w:hanging="360"/>
        <w:textAlignment w:val="baseline"/>
        <w:rPr>
          <w:rFonts w:ascii="Times New Roman" w:eastAsia="Times New Roman" w:hAnsi="Times New Roman" w:cs="Times New Roman"/>
          <w:sz w:val="20"/>
          <w:szCs w:val="20"/>
        </w:rPr>
      </w:pPr>
      <w:r w:rsidRPr="007C3B60">
        <w:rPr>
          <w:rFonts w:ascii="Times New Roman" w:eastAsia="Times New Roman" w:hAnsi="Times New Roman" w:cs="Times New Roman"/>
          <w:sz w:val="20"/>
          <w:szCs w:val="20"/>
        </w:rPr>
        <w:t xml:space="preserve">5.  Near the end of “America and I,” Yezierska’s narrator has an epiphany inspired by the Pilgrims (of Plymouth Rock fame): “Then came a light — a great revelation!”   What is the narrator’s revelation, and how does she apply it?   What does Yezierska accomplish with the comparison to the Pilgrims — how does this validate what the narrator (and Yezierska) are doing?  A reader might find this comparison surprising — why?   </w:t>
      </w:r>
    </w:p>
    <w:p w14:paraId="3924BCA5" w14:textId="77777777" w:rsidR="007C3B60" w:rsidRPr="007C3B60" w:rsidRDefault="007C3B60" w:rsidP="007C3B60">
      <w:pPr>
        <w:tabs>
          <w:tab w:val="left" w:pos="360"/>
        </w:tabs>
        <w:overflowPunct w:val="0"/>
        <w:autoSpaceDE w:val="0"/>
        <w:autoSpaceDN w:val="0"/>
        <w:adjustRightInd w:val="0"/>
        <w:spacing w:before="120" w:after="0" w:line="240" w:lineRule="auto"/>
        <w:ind w:left="360" w:hanging="360"/>
        <w:textAlignment w:val="baseline"/>
        <w:rPr>
          <w:rFonts w:ascii="Times New Roman" w:eastAsia="Times New Roman" w:hAnsi="Times New Roman" w:cs="Times New Roman"/>
          <w:sz w:val="20"/>
          <w:szCs w:val="20"/>
        </w:rPr>
      </w:pPr>
    </w:p>
    <w:p w14:paraId="5165D7EA" w14:textId="77777777" w:rsidR="007C3B60" w:rsidRPr="007C3B60" w:rsidRDefault="007C3B60" w:rsidP="007C3B60">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rPr>
      </w:pPr>
      <w:r w:rsidRPr="007C3B60">
        <w:rPr>
          <w:rFonts w:ascii="Times New Roman" w:eastAsia="Times New Roman" w:hAnsi="Times New Roman" w:cs="Times New Roman"/>
          <w:b/>
          <w:sz w:val="20"/>
          <w:szCs w:val="20"/>
        </w:rPr>
        <w:t>Part II:</w:t>
      </w:r>
      <w:r w:rsidRPr="007C3B60">
        <w:rPr>
          <w:rFonts w:ascii="Times New Roman" w:eastAsia="Times New Roman" w:hAnsi="Times New Roman" w:cs="Times New Roman"/>
          <w:sz w:val="20"/>
          <w:szCs w:val="20"/>
        </w:rPr>
        <w:t xml:space="preserve">  This is how Edith Maude Eaton concludes her memoir, “Leaves from the Mental Portfolio of </w:t>
      </w:r>
      <w:proofErr w:type="gramStart"/>
      <w:r w:rsidRPr="007C3B60">
        <w:rPr>
          <w:rFonts w:ascii="Times New Roman" w:eastAsia="Times New Roman" w:hAnsi="Times New Roman" w:cs="Times New Roman"/>
          <w:sz w:val="20"/>
          <w:szCs w:val="20"/>
        </w:rPr>
        <w:t>an</w:t>
      </w:r>
      <w:proofErr w:type="gramEnd"/>
      <w:r w:rsidRPr="007C3B60">
        <w:rPr>
          <w:rFonts w:ascii="Times New Roman" w:eastAsia="Times New Roman" w:hAnsi="Times New Roman" w:cs="Times New Roman"/>
          <w:sz w:val="20"/>
          <w:szCs w:val="20"/>
        </w:rPr>
        <w:t xml:space="preserve"> Eurasian”:</w:t>
      </w:r>
    </w:p>
    <w:p w14:paraId="4B18FAE8" w14:textId="77777777" w:rsidR="007C3B60" w:rsidRPr="007C3B60" w:rsidRDefault="007C3B60" w:rsidP="007C3B60">
      <w:pPr>
        <w:overflowPunct w:val="0"/>
        <w:autoSpaceDE w:val="0"/>
        <w:autoSpaceDN w:val="0"/>
        <w:adjustRightInd w:val="0"/>
        <w:spacing w:before="120" w:after="0" w:line="240" w:lineRule="auto"/>
        <w:ind w:left="720"/>
        <w:textAlignment w:val="baseline"/>
        <w:rPr>
          <w:rFonts w:ascii="Times New Roman" w:eastAsia="Times New Roman" w:hAnsi="Times New Roman" w:cs="Times New Roman"/>
          <w:i/>
          <w:sz w:val="20"/>
          <w:szCs w:val="20"/>
        </w:rPr>
      </w:pPr>
      <w:r w:rsidRPr="007C3B60">
        <w:rPr>
          <w:rFonts w:ascii="Times New Roman" w:eastAsia="Times New Roman" w:hAnsi="Times New Roman" w:cs="Times New Roman"/>
          <w:i/>
          <w:sz w:val="20"/>
          <w:szCs w:val="20"/>
        </w:rPr>
        <w:t xml:space="preserve">After all, I have no nationality and am not anxious to claim any.  Individuality is more than nationality.   “You are you and I am I,” says Confucius.  I give my right hand to the Occidentals [Westerners] and my left to the Orientals, hoping that between them they will not utterly destroy the insignificant “connecting link.”  And that’s all.   </w:t>
      </w:r>
    </w:p>
    <w:p w14:paraId="185E7A63" w14:textId="77777777" w:rsidR="007C3B60" w:rsidRPr="007C3B60" w:rsidRDefault="007C3B60" w:rsidP="007C3B60">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rPr>
      </w:pPr>
      <w:r w:rsidRPr="007C3B60">
        <w:rPr>
          <w:rFonts w:ascii="Times New Roman" w:eastAsia="Times New Roman" w:hAnsi="Times New Roman" w:cs="Times New Roman"/>
          <w:sz w:val="20"/>
          <w:szCs w:val="20"/>
        </w:rPr>
        <w:t xml:space="preserve">How well does Eaton’s sentiment here reflect our syllabus authors?   Do some or all of our writers privilege ‘individuality’ over ‘nationality’?  (Do any do the opposite—downplay individuality in favor of the collective?)   Do they present a conflict between the self and broader categories like nation or ethnicity?   </w:t>
      </w:r>
    </w:p>
    <w:p w14:paraId="7B89F536" w14:textId="77777777" w:rsidR="007C3B60" w:rsidRPr="007C3B60" w:rsidRDefault="007C3B60" w:rsidP="007C3B60">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rPr>
      </w:pPr>
      <w:r w:rsidRPr="007C3B60">
        <w:rPr>
          <w:rFonts w:ascii="Times New Roman" w:eastAsia="Times New Roman" w:hAnsi="Times New Roman" w:cs="Times New Roman"/>
          <w:sz w:val="20"/>
          <w:szCs w:val="20"/>
        </w:rPr>
        <w:t xml:space="preserve">Pick any two course authors (from either half of the course) and imagine what their response to Eaton would be.   Try to be detailed and specific.   </w:t>
      </w:r>
    </w:p>
    <w:p w14:paraId="7691233B" w14:textId="77777777" w:rsidR="00790567" w:rsidRDefault="00B94CF7"/>
    <w:sectPr w:rsidR="0079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3B60"/>
    <w:rsid w:val="0037545F"/>
    <w:rsid w:val="004267E4"/>
    <w:rsid w:val="007C3B60"/>
    <w:rsid w:val="00B94CF7"/>
    <w:rsid w:val="00E42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5261"/>
  <w15:docId w15:val="{4F7EE2AD-C7B4-4089-ADDA-AE4444C0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Montville Township Board of Edu</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Gormley</dc:creator>
  <cp:lastModifiedBy>luis janota</cp:lastModifiedBy>
  <cp:revision>3</cp:revision>
  <dcterms:created xsi:type="dcterms:W3CDTF">2019-05-01T01:42:00Z</dcterms:created>
  <dcterms:modified xsi:type="dcterms:W3CDTF">2019-05-01T01:45:00Z</dcterms:modified>
</cp:coreProperties>
</file>